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Normal.0"/>
        <w:jc w:val="center"/>
        <w:rPr>
          <w:rFonts w:ascii="MingLiU" w:cs="MingLiU" w:hAnsi="MingLiU" w:eastAsia="MingLiU"/>
          <w:sz w:val="56"/>
          <w:szCs w:val="56"/>
          <w:lang w:val="zh-TW" w:eastAsia="zh-TW"/>
        </w:rPr>
      </w:pPr>
      <w:r>
        <w:rPr>
          <w:rFonts w:ascii="MingLiU" w:cs="MingLiU" w:hAnsi="MingLiU" w:eastAsia="MingLiU"/>
          <w:sz w:val="56"/>
          <w:szCs w:val="56"/>
          <w:rtl w:val="0"/>
          <w:lang w:val="zh-TW" w:eastAsia="zh-TW"/>
        </w:rPr>
        <w:t>前台測試報告</w:t>
      </w:r>
    </w:p>
    <w:p>
      <w:pPr>
        <w:pStyle w:val="Normal.0"/>
        <w:jc w:val="center"/>
        <w:rPr>
          <w:rFonts w:ascii="MingLiU" w:cs="MingLiU" w:hAnsi="MingLiU" w:eastAsia="MingLiU"/>
          <w:sz w:val="56"/>
          <w:szCs w:val="56"/>
          <w:lang w:val="zh-TW" w:eastAsia="zh-TW"/>
        </w:rPr>
      </w:pP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ascii="MingLiU" w:cs="MingLiU" w:hAnsi="MingLiU" w:eastAsia="MingLiU"/>
          <w:sz w:val="40"/>
          <w:szCs w:val="40"/>
          <w:rtl w:val="0"/>
          <w:lang w:val="zh-TW" w:eastAsia="zh-TW"/>
        </w:rPr>
      </w:pP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 xml:space="preserve">修復區塊版型「商品區塊」，若遇到無用 </w:t>
      </w: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 xml:space="preserve">ID </w:t>
      </w: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>資料無法顯示問題</w:t>
      </w:r>
      <w:r>
        <w:rPr>
          <w:rFonts w:ascii="MingLiU" w:cs="MingLiU" w:hAnsi="MingLiU" w:eastAsia="MingLiU"/>
          <w:sz w:val="40"/>
          <w:szCs w:val="40"/>
          <w:lang w:val="zh-TW" w:eastAsia="zh-TW"/>
        </w:rPr>
        <w:br w:type="textWrapping"/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後台新增商品區塊版型，選擇商品分類，並填入要顯示之標的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ID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，點擊儲存</w:t>
      </w:r>
    </w:p>
    <w:p>
      <w:pPr>
        <w:pStyle w:val="List Paragraph"/>
        <w:ind w:left="560" w:firstLine="0"/>
        <w:rPr>
          <w:rFonts w:ascii="MingLiU" w:cs="MingLiU" w:hAnsi="MingLiU" w:eastAsia="MingLiU"/>
          <w:lang w:val="zh-TW" w:eastAsia="zh-TW"/>
        </w:rPr>
      </w:pPr>
    </w:p>
    <w:p>
      <w:pPr>
        <w:pStyle w:val="List Paragraph"/>
        <w:ind w:left="560" w:firstLine="0"/>
      </w:pPr>
      <w:r>
        <w:drawing xmlns:a="http://schemas.openxmlformats.org/drawingml/2006/main">
          <wp:inline distT="0" distB="0" distL="0" distR="0">
            <wp:extent cx="4914773" cy="2713810"/>
            <wp:effectExtent l="0" t="0" r="0" b="0"/>
            <wp:docPr id="1073741825" name="officeArt object" descr="截圖 2025-11-14 下午2.01.4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截圖 2025-11-14 下午2.01.42.png" descr="截圖 2025-11-14 下午2.01.42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773" cy="271381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</w:p>
    <w:p>
      <w:pPr>
        <w:pStyle w:val="List Paragraph"/>
        <w:ind w:left="560" w:firstLine="0"/>
      </w:pP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認該頁面前台的商品區塊正常顯示</w:t>
      </w:r>
      <w:r>
        <w:rPr>
          <w:rFonts w:ascii="MingLiU" w:cs="MingLiU" w:hAnsi="MingLiU" w:eastAsia="MingLiU"/>
          <w:sz w:val="28"/>
          <w:szCs w:val="28"/>
          <w:lang w:val="zh-TW" w:eastAsia="zh-TW"/>
        </w:rPr>
        <w:br w:type="textWrapping"/>
      </w:r>
      <w:r>
        <w:rPr>
          <w:rFonts w:ascii="MingLiU" w:cs="MingLiU" w:hAnsi="MingLiU" w:eastAsia="MingLiU"/>
          <w:lang w:val="zh-TW" w:eastAsia="zh-TW"/>
        </w:rPr>
        <w:drawing xmlns:a="http://schemas.openxmlformats.org/drawingml/2006/main">
          <wp:inline distT="0" distB="0" distL="0" distR="0">
            <wp:extent cx="4914773" cy="2724263"/>
            <wp:effectExtent l="0" t="0" r="0" b="0"/>
            <wp:docPr id="1073741826" name="officeArt object" descr="截圖 2025-11-14 下午2.06.4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截圖 2025-11-14 下午2.06.44.png" descr="截圖 2025-11-14 下午2.06.44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773" cy="272426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MingLiU" w:cs="MingLiU" w:hAnsi="MingLiU" w:eastAsia="MingLiU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MingLiU" w:cs="MingLiU" w:hAnsi="MingLiU" w:eastAsia="MingLiU"/>
        </w:rPr>
      </w:pP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ascii="MingLiU" w:cs="MingLiU" w:hAnsi="MingLiU" w:eastAsia="MingLiU"/>
          <w:sz w:val="40"/>
          <w:szCs w:val="40"/>
          <w:rtl w:val="0"/>
          <w:lang w:val="zh-TW" w:eastAsia="zh-TW"/>
        </w:rPr>
      </w:pP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>修復搜尋頁輸入特定標的全名，無法搜尋到結果之問題</w:t>
      </w:r>
      <w:r>
        <w:rPr>
          <w:rFonts w:ascii="MingLiU" w:cs="MingLiU" w:hAnsi="MingLiU" w:eastAsia="MingLiU"/>
          <w:sz w:val="40"/>
          <w:szCs w:val="40"/>
          <w:lang w:val="zh-TW" w:eastAsia="zh-TW"/>
        </w:rPr>
        <w:br w:type="textWrapping"/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在搜尋頁輸入「安聯全球綠能趨勢基金」</w:t>
      </w: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5270500" cy="2915304"/>
            <wp:effectExtent l="0" t="0" r="0" b="0"/>
            <wp:docPr id="1073741827" name="officeArt object" descr="截圖 2025-11-14 下午2.11.5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截圖 2025-11-14 下午2.11.54.png" descr="截圖 2025-11-14 下午2.11.54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1530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MingLiU" w:cs="MingLiU" w:hAnsi="MingLiU" w:eastAsia="MingLiU"/>
          <w:sz w:val="28"/>
          <w:szCs w:val="28"/>
          <w:lang w:val="zh-TW" w:eastAsia="zh-TW"/>
        </w:rPr>
      </w:pPr>
    </w:p>
    <w:p>
      <w:pPr>
        <w:pStyle w:val="List Paragraph"/>
        <w:ind w:left="0" w:firstLine="0"/>
        <w:rPr>
          <w:rFonts w:ascii="MingLiU" w:cs="MingLiU" w:hAnsi="MingLiU" w:eastAsia="MingLiU"/>
          <w:sz w:val="40"/>
          <w:szCs w:val="40"/>
          <w:lang w:val="zh-TW" w:eastAsia="zh-TW"/>
        </w:rPr>
      </w:pPr>
    </w:p>
    <w:p>
      <w:pPr>
        <w:pStyle w:val="List Paragraph"/>
        <w:ind w:left="560" w:firstLine="0"/>
        <w:rPr>
          <w:rFonts w:ascii="MingLiU" w:cs="MingLiU" w:hAnsi="MingLiU" w:eastAsia="MingLiU"/>
          <w:sz w:val="28"/>
          <w:szCs w:val="28"/>
          <w:lang w:val="zh-TW" w:eastAsia="zh-TW"/>
        </w:rPr>
      </w:pP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搜尋結果頁顯示「安聯全球綠能趨勢基金」標的卡牌</w:t>
      </w:r>
    </w:p>
    <w:p>
      <w:pPr>
        <w:pStyle w:val="List Paragraph"/>
        <w:ind w:left="560" w:firstLine="0"/>
      </w:pP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4914773" cy="2718538"/>
            <wp:effectExtent l="0" t="0" r="0" b="0"/>
            <wp:docPr id="1073741828" name="officeArt object" descr="截圖 2025-11-14 下午2.10.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截圖 2025-11-14 下午2.10.23.png" descr="截圖 2025-11-14 下午2.10.23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773" cy="271853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sz w:val="28"/>
          <w:szCs w:val="28"/>
          <w:lang w:val="zh-TW" w:eastAsia="zh-TW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ascii="MingLiU" w:cs="MingLiU" w:hAnsi="MingLiU" w:eastAsia="MingLiU"/>
          <w:sz w:val="40"/>
          <w:szCs w:val="40"/>
          <w:rtl w:val="0"/>
          <w:lang w:val="zh-TW" w:eastAsia="zh-TW"/>
        </w:rPr>
      </w:pP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>新增</w:t>
      </w: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>基金標的</w:t>
      </w: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>頁定期定額按鈕顯示邏輯</w:t>
      </w:r>
      <w:r>
        <w:rPr>
          <w:rFonts w:ascii="MingLiU" w:cs="MingLiU" w:hAnsi="MingLiU" w:eastAsia="MingLiU"/>
          <w:sz w:val="40"/>
          <w:szCs w:val="40"/>
          <w:lang w:val="zh-TW" w:eastAsia="zh-TW"/>
        </w:rPr>
        <w:br w:type="textWrapping"/>
      </w: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 xml:space="preserve">-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原有邏輯 ：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ERMINATION_MARK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參數等於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N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、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V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、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S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、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R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其中一個</w:t>
      </w:r>
      <w:r>
        <w:rPr>
          <w:rFonts w:ascii="MingLiU" w:cs="MingLiU" w:hAnsi="MingLiU" w:eastAsia="MingLiU"/>
          <w:sz w:val="28"/>
          <w:szCs w:val="28"/>
          <w:lang w:val="zh-TW" w:eastAsia="zh-TW"/>
        </w:rPr>
        <w:br w:type="textWrapping"/>
      </w:r>
      <w:r>
        <w:rPr>
          <w:rFonts w:ascii="MingLiU" w:cs="MingLiU" w:hAnsi="MingLiU" w:eastAsia="MingLiU"/>
          <w:sz w:val="40"/>
          <w:szCs w:val="40"/>
          <w:rtl w:val="0"/>
          <w:lang w:val="zh-TW" w:eastAsia="zh-TW"/>
        </w:rPr>
        <w:t xml:space="preserve">-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新增邏輯 ：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“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且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”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NTD_AUTOINVEST_MARK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、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FORECUR_AUTOINVEST_MARK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其中任一個為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1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時顯示</w:t>
      </w:r>
      <w:r>
        <w:rPr>
          <w:rFonts w:ascii="MingLiU" w:cs="MingLiU" w:hAnsi="MingLiU" w:eastAsia="MingLiU"/>
          <w:sz w:val="28"/>
          <w:szCs w:val="28"/>
          <w:lang w:val="zh-TW" w:eastAsia="zh-TW"/>
        </w:rPr>
        <w:br w:type="textWrapping"/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 (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需同時符合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上述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兩條件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)</w:t>
      </w:r>
      <w:r>
        <w:rPr>
          <w:rFonts w:ascii="MingLiU" w:cs="MingLiU" w:hAnsi="MingLiU" w:eastAsia="MingLiU"/>
          <w:sz w:val="28"/>
          <w:szCs w:val="28"/>
          <w:lang w:val="zh-TW" w:eastAsia="zh-TW"/>
        </w:rPr>
        <w:br w:type="textWrapping"/>
        <w:br w:type="textWrapping"/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此標的測試資料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ERMINATION_MARK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參數等於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N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、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V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、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S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、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R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其中一個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，但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 NTD_AUTOINVEST_MARK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、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FORECUR_AUTOINVEST_MARK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 </w:t>
      </w:r>
      <w:r>
        <w:rPr>
          <w:rFonts w:ascii="MingLiU" w:cs="MingLiU" w:hAnsi="MingLiU" w:eastAsia="MingLiU"/>
          <w:sz w:val="28"/>
          <w:szCs w:val="28"/>
          <w:rtl w:val="0"/>
          <w:lang w:val="en-US" w:eastAsia="zh-TW"/>
        </w:rPr>
        <w:t xml:space="preserve">參數為 </w:t>
      </w:r>
      <w:r>
        <w:rPr>
          <w:rFonts w:ascii="MingLiU" w:cs="MingLiU" w:hAnsi="MingLiU" w:eastAsia="MingLiU"/>
          <w:sz w:val="28"/>
          <w:szCs w:val="28"/>
          <w:rtl w:val="0"/>
          <w:lang w:val="en-US" w:eastAsia="zh-TW"/>
        </w:rPr>
        <w:t>0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，因此不顯示「定期定額」按鈕</w:t>
      </w:r>
      <w:r>
        <w:rPr>
          <w:rFonts w:ascii="MingLiU" w:cs="MingLiU" w:hAnsi="MingLiU" w:eastAsia="MingLiU"/>
          <w:sz w:val="28"/>
          <w:szCs w:val="28"/>
          <w:lang w:val="zh-TW" w:eastAsia="zh-TW"/>
        </w:rPr>
        <w:br w:type="textWrapping"/>
      </w: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3918328" cy="2173221"/>
            <wp:effectExtent l="0" t="0" r="0" b="0"/>
            <wp:docPr id="1073741829" name="officeArt object" descr="截圖 2025-11-21 下午1.49.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截圖 2025-11-21 下午1.49.17.png" descr="截圖 2025-11-21 下午1.49.17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8328" cy="217322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sz w:val="28"/>
          <w:szCs w:val="28"/>
          <w:lang w:val="zh-TW" w:eastAsia="zh-TW"/>
        </w:rPr>
        <w:br w:type="textWrapping"/>
        <w:br w:type="textWrapping"/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此標的測試資料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ERMINATION_MARK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參數等於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N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、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V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、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S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、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R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其中一個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，且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 NTD_AUTOINVEST_MARK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、 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FORECUR_AUTOINVEST_MARK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 xml:space="preserve"> 其中一個</w:t>
      </w:r>
      <w:r>
        <w:rPr>
          <w:rFonts w:ascii="MingLiU" w:cs="MingLiU" w:hAnsi="MingLiU" w:eastAsia="MingLiU"/>
          <w:sz w:val="28"/>
          <w:szCs w:val="28"/>
          <w:rtl w:val="0"/>
          <w:lang w:val="en-US" w:eastAsia="zh-TW"/>
        </w:rPr>
        <w:t xml:space="preserve">參數為 </w:t>
      </w:r>
      <w:r>
        <w:rPr>
          <w:rFonts w:ascii="MingLiU" w:cs="MingLiU" w:hAnsi="MingLiU" w:eastAsia="MingLiU"/>
          <w:sz w:val="28"/>
          <w:szCs w:val="28"/>
          <w:rtl w:val="0"/>
          <w:lang w:val="en-US" w:eastAsia="zh-TW"/>
        </w:rPr>
        <w:t>1</w:t>
      </w:r>
      <w:r>
        <w:rPr>
          <w:rFonts w:ascii="MingLiU" w:cs="MingLiU" w:hAnsi="MingLiU" w:eastAsia="MingLiU"/>
          <w:sz w:val="28"/>
          <w:szCs w:val="28"/>
          <w:rtl w:val="0"/>
          <w:lang w:val="zh-TW" w:eastAsia="zh-TW"/>
        </w:rPr>
        <w:t>，因此顯示「定期定額」按鈕</w:t>
      </w:r>
      <w:r>
        <w:rPr>
          <w:rFonts w:ascii="MingLiU" w:cs="MingLiU" w:hAnsi="MingLiU" w:eastAsia="MingLiU"/>
          <w:sz w:val="28"/>
          <w:szCs w:val="28"/>
          <w:lang w:val="zh-TW" w:eastAsia="zh-TW"/>
        </w:rPr>
        <w:br w:type="textWrapping"/>
      </w:r>
      <w:r>
        <w:rPr>
          <w:rFonts w:ascii="MingLiU" w:cs="MingLiU" w:hAnsi="MingLiU" w:eastAsia="MingLiU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3964918" cy="2195785"/>
            <wp:effectExtent l="0" t="0" r="0" b="0"/>
            <wp:docPr id="1073741830" name="officeArt object" descr="截圖 2025-11-21 下午1.50.4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截圖 2025-11-21 下午1.50.49.png" descr="截圖 2025-11-21 下午1.50.49.pn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4918" cy="219578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sectPr>
      <w:headerReference w:type="default" r:id="rId10"/>
      <w:footerReference w:type="default" r:id="rId11"/>
      <w:pgSz w:w="11900" w:h="16840" w:orient="portrait"/>
      <w:pgMar w:top="1440" w:right="1800" w:bottom="1440" w:left="1800" w:header="851" w:footer="992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PingFang TC Regular">
    <w:charset w:val="00"/>
    <w:family w:val="roman"/>
    <w:pitch w:val="default"/>
  </w:font>
  <w:font w:name="MingLiU">
    <w:charset w:val="00"/>
    <w:family w:val="roman"/>
    <w:pitch w:val="default"/>
  </w:font>
  <w:font w:name="標楷體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hdr>
</file>

<file path=word/numbering.xml><?xml version="1.0" encoding="utf-8"?>
<w:numbering xmlns:w="http://schemas.openxmlformats.org/wordprocessingml/2006/main" xmlns:wp="http://schemas.openxmlformats.org/drawingml/2006/wordprocessingDrawing" xmlns:w14="http://schemas.microsoft.com/office/word/2010/wordml" xmlns:r="http://schemas.openxmlformats.org/officeDocument/2006/relationships" xmlns:v="urn:schemas-microsoft-com:vml" xmlns:o="urn:schemas-microsoft-com:office:office">
  <w:abstractNum w:abstractNumId="0">
    <w:multiLevelType w:val="hybridMultilevel"/>
    <w:numStyleLink w:val="已輸入樣式 1"/>
  </w:abstractNum>
  <w:abstractNum w:abstractNumId="1">
    <w:multiLevelType w:val="hybridMultilevel"/>
    <w:styleLink w:val="已輸入樣式 1"/>
    <w:lvl w:ilvl="0">
      <w:start w:val="1"/>
      <w:numFmt w:val="decimal"/>
      <w:suff w:val="tab"/>
      <w:lvlText w:val="%1."/>
      <w:lvlJc w:val="left"/>
      <w:pPr>
        <w:ind w:left="560" w:hanging="56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suff w:val="tab"/>
      <w:lvlText w:val="%2."/>
      <w:lvlJc w:val="left"/>
      <w:pPr>
        <w:ind w:left="96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tab"/>
      <w:lvlText w:val="%3."/>
      <w:lvlJc w:val="left"/>
      <w:pPr>
        <w:ind w:left="144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tab"/>
      <w:lvlText w:val="%4."/>
      <w:lvlJc w:val="left"/>
      <w:pPr>
        <w:ind w:left="192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tab"/>
      <w:lvlText w:val="%5."/>
      <w:lvlJc w:val="left"/>
      <w:pPr>
        <w:ind w:left="240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tab"/>
      <w:lvlText w:val="%6."/>
      <w:lvlJc w:val="left"/>
      <w:pPr>
        <w:ind w:left="288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tab"/>
      <w:lvlText w:val="%7."/>
      <w:lvlJc w:val="left"/>
      <w:pPr>
        <w:ind w:left="336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tab"/>
      <w:lvlText w:val="%8."/>
      <w:lvlJc w:val="left"/>
      <w:pPr>
        <w:ind w:left="384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tab"/>
      <w:lvlText w:val="%9."/>
      <w:lvlJc w:val="left"/>
      <w:pPr>
        <w:ind w:left="432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480"/>
  <w:autoHyphenation w:val="0"/>
  <w:evenAndOddHeaders w:val="0"/>
  <w:bookFoldPrinting w:val="0"/>
  <w:noLineBreaksAfter w:lang="中文" w:val="‘“(〔[{〈《「『【⦅〘〖«〝︵︷︹︻︽︿﹁﹃﹇﹙﹛﹝｢"/>
  <w:noLineBreaksBefore w:lang="中文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頁首與頁尾">
    <w:name w:val="頁首與頁尾"/>
    <w:next w:val="頁首與頁尾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PingFang TC Regular" w:cs="Arial Unicode MS" w:hAnsi="PingFang TC Regular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Normal.0">
    <w:name w:val="Normal"/>
    <w:next w:val="Normal.0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en-US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paragraph" w:styleId="List Paragraph">
    <w:name w:val="List Paragraph"/>
    <w:next w:val="List Paragraph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48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2"/>
      <w:position w:val="0"/>
      <w:sz w:val="24"/>
      <w:szCs w:val="24"/>
      <w:u w:val="none" w:color="000000"/>
      <w:shd w:val="nil" w:color="auto" w:fill="auto"/>
      <w:vertAlign w:val="baseline"/>
      <w:lang w:val="en-US"/>
      <w14:textFill>
        <w14:solidFill>
          <w14:srgbClr w14:val="000000"/>
        </w14:solidFill>
      </w14:textFill>
    </w:rPr>
  </w:style>
  <w:style w:type="numbering" w:styleId="已輸入樣式 1">
    <w:name w:val="已輸入樣式 1"/>
    <w:pPr>
      <w:numPr>
        <w:numId w:val="1"/>
      </w:numPr>
    </w:p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header" Target="header1.xml"/><Relationship Id="rId11" Type="http://schemas.openxmlformats.org/officeDocument/2006/relationships/footer" Target="footer1.xml"/><Relationship Id="rId12" Type="http://schemas.openxmlformats.org/officeDocument/2006/relationships/numbering" Target="numbering.xml"/><Relationship Id="rId13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Office 佈景主題">
  <a:themeElements>
    <a:clrScheme name="Office 佈景主題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佈景主題">
      <a:majorFont>
        <a:latin typeface="PingFang TC Semibold"/>
        <a:ea typeface="PingFang TC Semibold"/>
        <a:cs typeface="PingFang TC Semibold"/>
      </a:majorFont>
      <a:minorFont>
        <a:latin typeface="PingFang TC Regular"/>
        <a:ea typeface="PingFang TC Regular"/>
        <a:cs typeface="PingFang TC Regular"/>
      </a:minorFont>
    </a:fontScheme>
    <a:fmtScheme name="Office 佈景主題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