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jc w:val="center"/>
        <w:rPr>
          <w:rFonts w:ascii="MingLiU" w:cs="MingLiU" w:hAnsi="MingLiU" w:eastAsia="MingLiU"/>
          <w:sz w:val="56"/>
          <w:szCs w:val="56"/>
          <w:lang w:val="zh-TW" w:eastAsia="zh-TW"/>
        </w:rPr>
      </w:pPr>
      <w:r>
        <w:rPr>
          <w:rFonts w:ascii="MingLiU" w:cs="MingLiU" w:hAnsi="MingLiU" w:eastAsia="MingLiU"/>
          <w:sz w:val="56"/>
          <w:szCs w:val="56"/>
          <w:rtl w:val="0"/>
          <w:lang w:val="zh-TW" w:eastAsia="zh-TW"/>
        </w:rPr>
        <w:t>後台測試報告</w:t>
      </w:r>
    </w:p>
    <w:p>
      <w:pPr>
        <w:pStyle w:val="Normal.0"/>
        <w:jc w:val="center"/>
        <w:rPr>
          <w:rFonts w:ascii="MingLiU" w:cs="MingLiU" w:hAnsi="MingLiU" w:eastAsia="MingLiU"/>
          <w:sz w:val="56"/>
          <w:szCs w:val="56"/>
          <w:lang w:val="zh-TW" w:eastAsia="zh-TW"/>
        </w:rPr>
      </w:pPr>
    </w:p>
    <w:p>
      <w:pPr>
        <w:pStyle w:val="List Paragraph"/>
        <w:numPr>
          <w:ilvl w:val="0"/>
          <w:numId w:val="2"/>
        </w:numPr>
        <w:bidi w:val="0"/>
        <w:ind w:right="0"/>
        <w:jc w:val="left"/>
        <w:rPr>
          <w:rFonts w:ascii="MingLiU" w:cs="MingLiU" w:hAnsi="MingLiU" w:eastAsia="MingLiU"/>
          <w:sz w:val="40"/>
          <w:szCs w:val="40"/>
          <w:rtl w:val="0"/>
          <w:lang w:val="zh-TW" w:eastAsia="zh-TW"/>
        </w:rPr>
      </w:pPr>
      <w:r>
        <w:rPr>
          <w:rFonts w:ascii="MingLiU" w:cs="MingLiU" w:hAnsi="MingLiU" w:eastAsia="MingLiU"/>
          <w:sz w:val="40"/>
          <w:szCs w:val="40"/>
          <w:rtl w:val="0"/>
          <w:lang w:val="zh-TW" w:eastAsia="zh-TW"/>
        </w:rPr>
        <w:t xml:space="preserve">後端新增 </w:t>
      </w:r>
      <w:r>
        <w:rPr>
          <w:rFonts w:ascii="MingLiU" w:cs="MingLiU" w:hAnsi="MingLiU" w:eastAsia="MingLiU"/>
          <w:sz w:val="40"/>
          <w:szCs w:val="40"/>
          <w:rtl w:val="0"/>
          <w:lang w:val="zh-TW" w:eastAsia="zh-TW"/>
        </w:rPr>
        <w:t xml:space="preserve">COUPON_RATE </w:t>
      </w:r>
      <w:r>
        <w:rPr>
          <w:rFonts w:ascii="MingLiU" w:cs="MingLiU" w:hAnsi="MingLiU" w:eastAsia="MingLiU"/>
          <w:sz w:val="40"/>
          <w:szCs w:val="40"/>
          <w:rtl w:val="0"/>
          <w:lang w:val="zh-TW" w:eastAsia="zh-TW"/>
        </w:rPr>
        <w:t>過濾文字與字元功能</w:t>
      </w:r>
      <w:r>
        <w:rPr>
          <w:rFonts w:ascii="MingLiU" w:cs="MingLiU" w:hAnsi="MingLiU" w:eastAsia="MingLiU"/>
          <w:sz w:val="40"/>
          <w:szCs w:val="40"/>
          <w:lang w:val="zh-TW" w:eastAsia="zh-TW"/>
        </w:rPr>
        <w:br w:type="textWrapping"/>
      </w:r>
      <w:r>
        <w:rPr>
          <w:rFonts w:ascii="MingLiU" w:cs="MingLiU" w:hAnsi="MingLiU" w:eastAsia="MingLiU"/>
          <w:sz w:val="28"/>
          <w:szCs w:val="28"/>
          <w:rtl w:val="0"/>
          <w:lang w:val="zh-TW" w:eastAsia="zh-TW"/>
        </w:rPr>
        <w:t xml:space="preserve">- </w:t>
      </w:r>
      <w:r>
        <w:rPr>
          <w:rFonts w:ascii="MingLiU" w:cs="MingLiU" w:hAnsi="MingLiU" w:eastAsia="MingLiU"/>
          <w:sz w:val="28"/>
          <w:szCs w:val="28"/>
          <w:rtl w:val="0"/>
          <w:lang w:val="zh-TW" w:eastAsia="zh-TW"/>
        </w:rPr>
        <w:t>排序功能將所有字串轉為數字排序，並過濾「</w:t>
      </w:r>
      <w:r>
        <w:rPr>
          <w:rFonts w:ascii="MingLiU" w:cs="MingLiU" w:hAnsi="MingLiU" w:eastAsia="MingLiU"/>
          <w:sz w:val="28"/>
          <w:szCs w:val="28"/>
          <w:rtl w:val="0"/>
          <w:lang w:val="zh-TW" w:eastAsia="zh-TW"/>
        </w:rPr>
        <w:t>%</w:t>
      </w:r>
      <w:r>
        <w:rPr>
          <w:rFonts w:ascii="MingLiU" w:cs="MingLiU" w:hAnsi="MingLiU" w:eastAsia="MingLiU"/>
          <w:sz w:val="28"/>
          <w:szCs w:val="28"/>
          <w:rtl w:val="0"/>
          <w:lang w:val="zh-TW" w:eastAsia="zh-TW"/>
        </w:rPr>
        <w:t>」字元</w:t>
      </w:r>
    </w:p>
    <w:p>
      <w:pPr>
        <w:pStyle w:val="List Paragraph"/>
        <w:bidi w:val="0"/>
        <w:ind w:left="560" w:right="0" w:firstLine="0"/>
        <w:jc w:val="left"/>
        <w:rPr>
          <w:rFonts w:ascii="MingLiU" w:cs="MingLiU" w:hAnsi="MingLiU" w:eastAsia="MingLiU"/>
          <w:sz w:val="28"/>
          <w:szCs w:val="28"/>
          <w:rtl w:val="0"/>
          <w:lang w:val="zh-TW" w:eastAsia="zh-TW"/>
        </w:rPr>
      </w:pPr>
      <w:r>
        <w:rPr>
          <w:rFonts w:ascii="MingLiU" w:cs="MingLiU" w:hAnsi="MingLiU" w:eastAsia="MingLiU"/>
          <w:sz w:val="28"/>
          <w:szCs w:val="28"/>
          <w:rtl w:val="0"/>
          <w:lang w:val="zh-TW" w:eastAsia="zh-TW"/>
        </w:rPr>
        <w:t xml:space="preserve">- </w:t>
      </w:r>
      <w:r>
        <w:rPr>
          <w:rFonts w:ascii="MingLiU" w:cs="MingLiU" w:hAnsi="MingLiU" w:eastAsia="MingLiU"/>
          <w:sz w:val="28"/>
          <w:szCs w:val="28"/>
          <w:rtl w:val="0"/>
          <w:lang w:val="zh-TW" w:eastAsia="zh-TW"/>
        </w:rPr>
        <w:t xml:space="preserve">處理「零息債」字串轉為數字 </w:t>
      </w:r>
      <w:r>
        <w:rPr>
          <w:rFonts w:ascii="MingLiU" w:cs="MingLiU" w:hAnsi="MingLiU" w:eastAsia="MingLiU"/>
          <w:sz w:val="28"/>
          <w:szCs w:val="28"/>
          <w:rtl w:val="0"/>
          <w:lang w:val="zh-TW" w:eastAsia="zh-TW"/>
        </w:rPr>
        <w:t>0</w:t>
      </w:r>
    </w:p>
    <w:p>
      <w:pPr>
        <w:pStyle w:val="List Paragraph"/>
        <w:bidi w:val="0"/>
        <w:ind w:left="560" w:right="0" w:firstLine="0"/>
        <w:jc w:val="left"/>
        <w:rPr>
          <w:rFonts w:ascii="MingLiU" w:cs="MingLiU" w:hAnsi="MingLiU" w:eastAsia="MingLiU"/>
          <w:sz w:val="28"/>
          <w:szCs w:val="28"/>
          <w:rtl w:val="0"/>
          <w:lang w:val="zh-TW" w:eastAsia="zh-TW"/>
        </w:rPr>
      </w:pPr>
      <w:r>
        <w:rPr>
          <w:rFonts w:ascii="MingLiU" w:cs="MingLiU" w:hAnsi="MingLiU" w:eastAsia="MingLiU"/>
          <w:sz w:val="28"/>
          <w:szCs w:val="28"/>
          <w:rtl w:val="0"/>
          <w:lang w:val="zh-TW" w:eastAsia="zh-TW"/>
        </w:rPr>
        <w:t xml:space="preserve">- </w:t>
      </w:r>
      <w:r>
        <w:rPr>
          <w:rFonts w:ascii="MingLiU" w:cs="MingLiU" w:hAnsi="MingLiU" w:eastAsia="MingLiU"/>
          <w:sz w:val="28"/>
          <w:szCs w:val="28"/>
          <w:rtl w:val="0"/>
          <w:lang w:val="zh-TW" w:eastAsia="zh-TW"/>
        </w:rPr>
        <w:t xml:space="preserve">處理「浮動利率」字串轉為數字 </w:t>
      </w:r>
      <w:r>
        <w:rPr>
          <w:rFonts w:ascii="MingLiU" w:cs="MingLiU" w:hAnsi="MingLiU" w:eastAsia="MingLiU"/>
          <w:sz w:val="28"/>
          <w:szCs w:val="28"/>
          <w:rtl w:val="0"/>
          <w:lang w:val="zh-TW" w:eastAsia="zh-TW"/>
        </w:rPr>
        <w:t>0.00001</w:t>
      </w:r>
    </w:p>
    <w:p>
      <w:pPr>
        <w:pStyle w:val="List Paragraph"/>
        <w:bidi w:val="0"/>
        <w:ind w:left="560" w:right="0" w:firstLine="0"/>
        <w:jc w:val="left"/>
        <w:rPr>
          <w:rFonts w:ascii="MingLiU" w:cs="MingLiU" w:hAnsi="MingLiU" w:eastAsia="MingLiU"/>
          <w:sz w:val="28"/>
          <w:szCs w:val="28"/>
          <w:rtl w:val="0"/>
          <w:lang w:val="zh-TW" w:eastAsia="zh-TW"/>
        </w:rPr>
      </w:pPr>
      <w:r>
        <w:rPr>
          <w:rFonts w:ascii="MingLiU" w:cs="MingLiU" w:hAnsi="MingLiU" w:eastAsia="MingLiU"/>
          <w:sz w:val="28"/>
          <w:szCs w:val="28"/>
          <w:rtl w:val="0"/>
          <w:lang w:val="zh-TW" w:eastAsia="zh-TW"/>
        </w:rPr>
        <w:t xml:space="preserve">- </w:t>
      </w:r>
      <w:r>
        <w:rPr>
          <w:rFonts w:ascii="MingLiU" w:cs="MingLiU" w:hAnsi="MingLiU" w:eastAsia="MingLiU"/>
          <w:sz w:val="28"/>
          <w:szCs w:val="28"/>
          <w:rtl w:val="0"/>
          <w:lang w:val="zh-TW" w:eastAsia="zh-TW"/>
        </w:rPr>
        <w:t xml:space="preserve">處理「步階利率」字串轉為數字 </w:t>
      </w:r>
      <w:r>
        <w:rPr>
          <w:rFonts w:ascii="MingLiU" w:cs="MingLiU" w:hAnsi="MingLiU" w:eastAsia="MingLiU"/>
          <w:sz w:val="28"/>
          <w:szCs w:val="28"/>
          <w:rtl w:val="0"/>
          <w:lang w:val="zh-TW" w:eastAsia="zh-TW"/>
        </w:rPr>
        <w:t>0.00002</w:t>
      </w:r>
    </w:p>
    <w:p>
      <w:pPr>
        <w:pStyle w:val="List Paragraph"/>
        <w:bidi w:val="0"/>
        <w:ind w:left="560" w:right="0" w:firstLine="0"/>
        <w:jc w:val="left"/>
        <w:rPr>
          <w:rtl w:val="0"/>
        </w:rPr>
      </w:pPr>
      <w:r>
        <w:rPr>
          <w:rFonts w:ascii="MingLiU" w:cs="MingLiU" w:hAnsi="MingLiU" w:eastAsia="MingLiU"/>
          <w:sz w:val="28"/>
          <w:szCs w:val="28"/>
          <w:rtl w:val="0"/>
          <w:lang w:val="zh-TW" w:eastAsia="zh-TW"/>
        </w:rPr>
        <w:t>（需於前台測試）</w:t>
      </w:r>
      <w:r>
        <w:rPr>
          <w:rFonts w:ascii="MingLiU" w:cs="MingLiU" w:hAnsi="MingLiU" w:eastAsia="MingLiU"/>
          <w:sz w:val="40"/>
          <w:szCs w:val="40"/>
          <w:lang w:val="zh-TW" w:eastAsia="zh-TW"/>
        </w:rPr>
      </w:r>
    </w:p>
    <w:sectPr>
      <w:headerReference w:type="default" r:id="rId4"/>
      <w:footerReference w:type="default" r:id="rId5"/>
      <w:pgSz w:w="11900" w:h="16840" w:orient="portrait"/>
      <w:pgMar w:top="1440" w:right="1800" w:bottom="1440" w:left="1800" w:header="851" w:footer="992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PingFang TC Regular">
    <w:charset w:val="00"/>
    <w:family w:val="roman"/>
    <w:pitch w:val="default"/>
  </w:font>
  <w:font w:name="MingLiU">
    <w:charset w:val="00"/>
    <w:family w:val="roman"/>
    <w:pitch w:val="default"/>
  </w:font>
  <w:font w:name="標楷體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頁首與頁尾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頁首與頁尾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已輸入樣式 1"/>
  </w:abstractNum>
  <w:abstractNum w:abstractNumId="1">
    <w:multiLevelType w:val="hybridMultilevel"/>
    <w:styleLink w:val="已輸入樣式 1"/>
    <w:lvl w:ilvl="0">
      <w:start w:val="1"/>
      <w:numFmt w:val="decimal"/>
      <w:suff w:val="tab"/>
      <w:lvlText w:val="%1."/>
      <w:lvlJc w:val="left"/>
      <w:pPr>
        <w:ind w:left="560" w:hanging="560"/>
      </w:pPr>
      <w:rPr>
        <w:rFonts w:ascii="標楷體" w:cs="標楷體" w:hAnsi="標楷體" w:eastAsia="標楷體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960" w:hanging="480"/>
      </w:pPr>
      <w:rPr>
        <w:rFonts w:ascii="標楷體" w:cs="標楷體" w:hAnsi="標楷體" w:eastAsia="標楷體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440" w:hanging="702"/>
      </w:pPr>
      <w:rPr>
        <w:rFonts w:ascii="標楷體" w:cs="標楷體" w:hAnsi="標楷體" w:eastAsia="標楷體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1920" w:hanging="480"/>
      </w:pPr>
      <w:rPr>
        <w:rFonts w:ascii="標楷體" w:cs="標楷體" w:hAnsi="標楷體" w:eastAsia="標楷體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2400" w:hanging="480"/>
      </w:pPr>
      <w:rPr>
        <w:rFonts w:ascii="標楷體" w:cs="標楷體" w:hAnsi="標楷體" w:eastAsia="標楷體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2880" w:hanging="702"/>
      </w:pPr>
      <w:rPr>
        <w:rFonts w:ascii="標楷體" w:cs="標楷體" w:hAnsi="標楷體" w:eastAsia="標楷體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3360" w:hanging="480"/>
      </w:pPr>
      <w:rPr>
        <w:rFonts w:ascii="標楷體" w:cs="標楷體" w:hAnsi="標楷體" w:eastAsia="標楷體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3840" w:hanging="480"/>
      </w:pPr>
      <w:rPr>
        <w:rFonts w:ascii="標楷體" w:cs="標楷體" w:hAnsi="標楷體" w:eastAsia="標楷體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4320" w:hanging="702"/>
      </w:pPr>
      <w:rPr>
        <w:rFonts w:ascii="標楷體" w:cs="標楷體" w:hAnsi="標楷體" w:eastAsia="標楷體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480"/>
  <w:autoHyphenation w:val="0"/>
  <w:evenAndOddHeaders w:val="0"/>
  <w:bookFoldPrinting w:val="0"/>
  <w:noLineBreaksAfter w:lang="中文" w:val="‘“(〔[{〈《「『【⦅〘〖«〝︵︷︹︻︽︿﹁﹃﹇﹙﹛﹝｢"/>
  <w:noLineBreaksBefore w:lang="中文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頁首與頁尾">
    <w:name w:val="頁首與頁尾"/>
    <w:next w:val="頁首與頁尾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PingFang TC Regular" w:cs="Arial Unicode MS" w:hAnsi="PingFang TC Regular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 Unicode MS" w:cs="Arial Unicode MS" w:hAnsi="Arial Unicode MS" w:eastAsia="Arial Unicode MS" w:hint="eastAsi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480" w:right="0" w:firstLine="0"/>
      <w:jc w:val="left"/>
      <w:outlineLvl w:val="9"/>
    </w:pPr>
    <w:rPr>
      <w:rFonts w:ascii="Arial Unicode MS" w:cs="Arial Unicode MS" w:hAnsi="Arial Unicode MS" w:eastAsia="Arial Unicode MS" w:hint="eastAsi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4"/>
      <w:szCs w:val="24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numbering" w:styleId="已輸入樣式 1">
    <w:name w:val="已輸入樣式 1"/>
    <w:pPr>
      <w:numPr>
        <w:numId w:val="1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佈景主題">
  <a:themeElements>
    <a:clrScheme name="Office 佈景主題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佈景主題">
      <a:majorFont>
        <a:latin typeface="PingFang TC Semibold"/>
        <a:ea typeface="PingFang TC Semibold"/>
        <a:cs typeface="PingFang TC Semibold"/>
      </a:majorFont>
      <a:minorFont>
        <a:latin typeface="PingFang TC Regular"/>
        <a:ea typeface="PingFang TC Regular"/>
        <a:cs typeface="PingFang TC Regular"/>
      </a:minorFont>
    </a:fontScheme>
    <a:fmtScheme name="Office 佈景主題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PingFang TC Regular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PingFang TC Regular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