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Normal.0"/>
        <w:jc w:val="center"/>
        <w:rPr>
          <w:rFonts w:ascii="DFBiaoKaiShu-B5" w:cs="DFBiaoKaiShu-B5" w:hAnsi="DFBiaoKaiShu-B5" w:eastAsia="DFBiaoKaiShu-B5"/>
          <w:sz w:val="56"/>
          <w:szCs w:val="56"/>
          <w:lang w:val="zh-TW" w:eastAsia="zh-TW"/>
        </w:rPr>
      </w:pPr>
      <w:r>
        <w:rPr>
          <w:rFonts w:ascii="MingLiU" w:cs="MingLiU" w:hAnsi="MingLiU" w:eastAsia="MingLiU"/>
          <w:sz w:val="56"/>
          <w:szCs w:val="56"/>
          <w:rtl w:val="0"/>
          <w:lang w:val="zh-TW" w:eastAsia="zh-TW"/>
        </w:rPr>
        <w:t>後</w:t>
      </w:r>
      <w:r>
        <w:rPr>
          <w:rFonts w:eastAsia="DFBiaoKaiShu-B5" w:hint="eastAsia"/>
          <w:sz w:val="56"/>
          <w:szCs w:val="56"/>
          <w:rtl w:val="0"/>
          <w:lang w:val="zh-TW" w:eastAsia="zh-TW"/>
        </w:rPr>
        <w:t>台測試報告</w:t>
      </w:r>
    </w:p>
    <w:p>
      <w:pPr>
        <w:pStyle w:val="Normal.0"/>
        <w:jc w:val="center"/>
        <w:rPr>
          <w:rFonts w:ascii="DFBiaoKaiShu-B5" w:cs="DFBiaoKaiShu-B5" w:hAnsi="DFBiaoKaiShu-B5" w:eastAsia="DFBiaoKaiShu-B5"/>
          <w:sz w:val="56"/>
          <w:szCs w:val="56"/>
          <w:lang w:val="zh-TW" w:eastAsia="zh-TW"/>
        </w:rPr>
      </w:pP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eastAsia="DFBiaoKaiShu-B5" w:hint="eastAsia"/>
          <w:sz w:val="40"/>
          <w:szCs w:val="40"/>
          <w:rtl w:val="0"/>
          <w:lang w:val="zh-TW" w:eastAsia="zh-TW"/>
        </w:rPr>
      </w:pPr>
      <w:r>
        <w:rPr>
          <w:rFonts w:eastAsia="DFBiaoKaiShu-B5" w:hint="eastAsia"/>
          <w:sz w:val="40"/>
          <w:szCs w:val="40"/>
          <w:rtl w:val="0"/>
          <w:lang w:val="zh-TW" w:eastAsia="zh-TW"/>
        </w:rPr>
        <w:t xml:space="preserve">前台弱點 </w:t>
      </w:r>
      <w:r>
        <w:rPr>
          <w:rFonts w:ascii="DFBiaoKaiShu-B5" w:hAnsi="DFBiaoKaiShu-B5"/>
          <w:sz w:val="40"/>
          <w:szCs w:val="40"/>
          <w:rtl w:val="0"/>
          <w:lang w:val="zh-TW" w:eastAsia="zh-TW"/>
        </w:rPr>
        <w:t xml:space="preserve">- </w:t>
      </w:r>
      <w:r>
        <w:rPr>
          <w:rFonts w:eastAsia="DFBiaoKaiShu-B5" w:hint="eastAsia"/>
          <w:sz w:val="40"/>
          <w:szCs w:val="40"/>
          <w:rtl w:val="0"/>
          <w:lang w:val="zh-TW" w:eastAsia="zh-TW"/>
        </w:rPr>
        <w:t>自動化移除欄位資料</w:t>
      </w:r>
      <w:r>
        <w:rPr>
          <w:rFonts w:ascii="DFBiaoKaiShu-B5" w:cs="DFBiaoKaiShu-B5" w:hAnsi="DFBiaoKaiShu-B5" w:eastAsia="DFBiaoKaiShu-B5"/>
          <w:sz w:val="40"/>
          <w:szCs w:val="40"/>
          <w:lang w:val="zh-TW" w:eastAsia="zh-TW"/>
        </w:rPr>
        <w:br w:type="textWrapping"/>
      </w:r>
      <w:r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  <w:br w:type="textWrapping"/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 xml:space="preserve">執行於 </w:t>
      </w:r>
      <w:r>
        <w:rPr>
          <w:rFonts w:ascii="DFBiaoKaiShu-B5" w:hAnsi="DFBiaoKaiShu-B5"/>
          <w:sz w:val="28"/>
          <w:szCs w:val="28"/>
          <w:rtl w:val="0"/>
          <w:lang w:val="zh-TW" w:eastAsia="zh-TW"/>
        </w:rPr>
        <w:t xml:space="preserve">AP Server 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 xml:space="preserve">執行 </w:t>
      </w:r>
      <w:r>
        <w:rPr>
          <w:rFonts w:ascii="DFBiaoKaiShu-B5" w:hAnsi="DFBiaoKaiShu-B5"/>
          <w:sz w:val="28"/>
          <w:szCs w:val="28"/>
          <w:rtl w:val="0"/>
          <w:lang w:val="zh-TW" w:eastAsia="zh-TW"/>
        </w:rPr>
        <w:t>sinopac-db-tool</w:t>
      </w:r>
      <w:r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  <w:br w:type="textWrapping"/>
        <w:br w:type="textWrapping"/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使用方式：</w:t>
      </w:r>
      <w:r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  <w:br w:type="textWrapping"/>
      </w:r>
      <w:r>
        <w:rPr>
          <w:rFonts w:ascii="DFBiaoKaiShu-B5" w:hAnsi="DFBiaoKaiShu-B5"/>
          <w:sz w:val="28"/>
          <w:szCs w:val="28"/>
          <w:rtl w:val="0"/>
          <w:lang w:val="zh-TW" w:eastAsia="zh-TW"/>
        </w:rPr>
        <w:t xml:space="preserve">1. 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 xml:space="preserve">將 </w:t>
      </w:r>
      <w:r>
        <w:rPr>
          <w:rFonts w:ascii="DFBiaoKaiShu-B5" w:hAnsi="DFBiaoKaiShu-B5"/>
          <w:sz w:val="28"/>
          <w:szCs w:val="28"/>
          <w:rtl w:val="0"/>
          <w:lang w:val="zh-TW" w:eastAsia="zh-TW"/>
        </w:rPr>
        <w:t xml:space="preserve">exe 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 xml:space="preserve">檔放在 </w:t>
      </w:r>
      <w:r>
        <w:rPr>
          <w:rFonts w:ascii="DFBiaoKaiShu-B5" w:hAnsi="DFBiaoKaiShu-B5"/>
          <w:sz w:val="28"/>
          <w:szCs w:val="28"/>
          <w:rtl w:val="0"/>
          <w:lang w:val="zh-TW" w:eastAsia="zh-TW"/>
        </w:rPr>
        <w:t>AP Server</w:t>
      </w:r>
      <w:r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  <w:br w:type="textWrapping"/>
      </w:r>
      <w:r>
        <w:rPr>
          <w:rFonts w:ascii="DFBiaoKaiShu-B5" w:hAnsi="DFBiaoKaiShu-B5"/>
          <w:sz w:val="28"/>
          <w:szCs w:val="28"/>
          <w:rtl w:val="0"/>
          <w:lang w:val="zh-TW" w:eastAsia="zh-TW"/>
        </w:rPr>
        <w:t xml:space="preserve">2. 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 xml:space="preserve">直接執行 </w:t>
      </w:r>
      <w:r>
        <w:rPr>
          <w:rFonts w:ascii="DFBiaoKaiShu-B5" w:hAnsi="DFBiaoKaiShu-B5"/>
          <w:sz w:val="28"/>
          <w:szCs w:val="28"/>
          <w:rtl w:val="0"/>
          <w:lang w:val="zh-TW" w:eastAsia="zh-TW"/>
        </w:rPr>
        <w:t xml:space="preserve">exe 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檔，完成！</w:t>
      </w:r>
      <w:r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  <w:br w:type="textWrapping"/>
        <w:br w:type="textWrapping"/>
      </w:r>
      <w:r>
        <w:rPr>
          <w:rFonts w:ascii="DFBiaoKaiShu-B5" w:cs="DFBiaoKaiShu-B5" w:hAnsi="DFBiaoKaiShu-B5" w:eastAsia="DFBiaoKaiShu-B5"/>
          <w:sz w:val="56"/>
          <w:szCs w:val="56"/>
          <w:lang w:val="zh-TW" w:eastAsia="zh-TW"/>
        </w:rPr>
        <w:drawing xmlns:a="http://schemas.openxmlformats.org/drawingml/2006/main">
          <wp:inline distT="0" distB="0" distL="0" distR="0">
            <wp:extent cx="4465844" cy="1068120"/>
            <wp:effectExtent l="0" t="0" r="0" b="0"/>
            <wp:docPr id="1073741825" name="officeArt object" descr="截圖 2026-07-21 晚上8.55.3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截圖 2026-07-21 晚上8.55.33.png" descr="截圖 2026-07-21 晚上8.55.33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5844" cy="106812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  <w:br w:type="textWrapping"/>
      </w:r>
      <w:r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  <w:br w:type="textWrapping"/>
      </w:r>
      <w:r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  <w:br w:type="textWrapping"/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 xml:space="preserve">四大產品首頁，需確認所有 </w:t>
      </w:r>
      <w:r>
        <w:rPr>
          <w:rFonts w:ascii="DFBiaoKaiShu-B5" w:hAnsi="DFBiaoKaiShu-B5"/>
          <w:sz w:val="28"/>
          <w:szCs w:val="28"/>
          <w:rtl w:val="0"/>
          <w:lang w:val="zh-TW" w:eastAsia="zh-TW"/>
        </w:rPr>
        <w:t xml:space="preserve">API 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 xml:space="preserve">資料中的 </w:t>
      </w:r>
      <w:r>
        <w:rPr>
          <w:rFonts w:ascii="DFBiaoKaiShu-B5" w:hAnsi="DFBiaoKaiShu-B5"/>
          <w:sz w:val="28"/>
          <w:szCs w:val="28"/>
          <w:rtl w:val="0"/>
          <w:lang w:val="zh-TW" w:eastAsia="zh-TW"/>
        </w:rPr>
        <w:t xml:space="preserve">default 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欄位是否已清空</w:t>
      </w:r>
      <w:r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  <w:br w:type="textWrapping"/>
      </w:r>
      <w:r>
        <w:rPr>
          <w:rFonts w:ascii="DFBiaoKaiShu-B5" w:hAnsi="DFBiaoKaiShu-B5"/>
          <w:sz w:val="28"/>
          <w:szCs w:val="28"/>
          <w:rtl w:val="0"/>
          <w:lang w:val="zh-TW" w:eastAsia="zh-TW"/>
        </w:rPr>
        <w:t xml:space="preserve">1. 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 xml:space="preserve">基金首頁頁面： </w:t>
      </w:r>
      <w:r>
        <w:rPr>
          <w:rFonts w:ascii="DFBiaoKaiShu-B5" w:hAnsi="DFBiaoKaiShu-B5"/>
          <w:sz w:val="28"/>
          <w:szCs w:val="28"/>
          <w:rtl w:val="0"/>
          <w:lang w:val="zh-TW" w:eastAsia="zh-TW"/>
        </w:rPr>
        <w:t>https://wmweb-sit.test/fundAPI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：</w:t>
      </w:r>
      <w:r>
        <w:rPr>
          <w:rStyle w:val="Hyperlink.0"/>
          <w:rFonts w:ascii="DFBiaoKaiShu-B5" w:cs="DFBiaoKaiShu-B5" w:hAnsi="DFBiaoKaiShu-B5" w:eastAsia="DFBiaoKaiShu-B5"/>
          <w:sz w:val="28"/>
          <w:szCs w:val="28"/>
        </w:rPr>
        <w:fldChar w:fldCharType="begin" w:fldLock="0"/>
      </w:r>
      <w:r>
        <w:rPr>
          <w:rStyle w:val="Hyperlink.0"/>
          <w:rFonts w:ascii="DFBiaoKaiShu-B5" w:cs="DFBiaoKaiShu-B5" w:hAnsi="DFBiaoKaiShu-B5" w:eastAsia="DFBiaoKaiShu-B5"/>
          <w:sz w:val="28"/>
          <w:szCs w:val="28"/>
        </w:rPr>
        <w:instrText xml:space="preserve"> HYPERLINK "https://wmweb-sit.test/api/get_single_type?id=fund_index"</w:instrText>
      </w:r>
      <w:r>
        <w:rPr>
          <w:rStyle w:val="Hyperlink.0"/>
          <w:rFonts w:ascii="DFBiaoKaiShu-B5" w:cs="DFBiaoKaiShu-B5" w:hAnsi="DFBiaoKaiShu-B5" w:eastAsia="DFBiaoKaiShu-B5"/>
          <w:sz w:val="28"/>
          <w:szCs w:val="28"/>
        </w:rPr>
        <w:fldChar w:fldCharType="separate" w:fldLock="0"/>
      </w:r>
      <w:r>
        <w:rPr>
          <w:rStyle w:val="Hyperlink.0"/>
          <w:rFonts w:ascii="DFBiaoKaiShu-B5" w:hAnsi="DFBiaoKaiShu-B5"/>
          <w:sz w:val="28"/>
          <w:szCs w:val="28"/>
          <w:rtl w:val="0"/>
          <w:lang w:val="en-US"/>
        </w:rPr>
        <w:t>https://wmweb-sit.test/api/get_single_type?id=fund_index</w:t>
      </w:r>
      <w:r>
        <w:rPr>
          <w:rFonts w:ascii="DFBiaoKaiShu-B5" w:cs="DFBiaoKaiShu-B5" w:hAnsi="DFBiaoKaiShu-B5" w:eastAsia="DFBiaoKaiShu-B5"/>
          <w:sz w:val="28"/>
          <w:szCs w:val="28"/>
        </w:rPr>
        <w:fldChar w:fldCharType="end" w:fldLock="0"/>
      </w:r>
      <w:r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  <w:br w:type="textWrapping"/>
        <w:br w:type="textWrapping"/>
      </w:r>
      <w:r>
        <w:rPr>
          <w:rFonts w:ascii="DFBiaoKaiShu-B5" w:hAnsi="DFBiaoKaiShu-B5"/>
          <w:sz w:val="28"/>
          <w:szCs w:val="28"/>
          <w:rtl w:val="0"/>
          <w:lang w:val="zh-TW" w:eastAsia="zh-TW"/>
        </w:rPr>
        <w:t xml:space="preserve">2. 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股票首頁頁面：</w:t>
      </w:r>
      <w:r>
        <w:rPr>
          <w:rFonts w:ascii="DFBiaoKaiShu-B5" w:hAnsi="DFBiaoKaiShu-B5"/>
          <w:sz w:val="28"/>
          <w:szCs w:val="28"/>
          <w:rtl w:val="0"/>
          <w:lang w:val="zh-TW" w:eastAsia="zh-TW"/>
        </w:rPr>
        <w:t>https://wmweb-sit.test/stockAPI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：</w:t>
      </w:r>
      <w:r>
        <w:rPr>
          <w:rStyle w:val="Hyperlink.0"/>
          <w:rFonts w:ascii="DFBiaoKaiShu-B5" w:cs="DFBiaoKaiShu-B5" w:hAnsi="DFBiaoKaiShu-B5" w:eastAsia="DFBiaoKaiShu-B5"/>
          <w:sz w:val="28"/>
          <w:szCs w:val="28"/>
        </w:rPr>
        <w:fldChar w:fldCharType="begin" w:fldLock="0"/>
      </w:r>
      <w:r>
        <w:rPr>
          <w:rStyle w:val="Hyperlink.0"/>
          <w:rFonts w:ascii="DFBiaoKaiShu-B5" w:cs="DFBiaoKaiShu-B5" w:hAnsi="DFBiaoKaiShu-B5" w:eastAsia="DFBiaoKaiShu-B5"/>
          <w:sz w:val="28"/>
          <w:szCs w:val="28"/>
        </w:rPr>
        <w:instrText xml:space="preserve"> HYPERLINK "https://wmweb-sit.test/api/get_single_type?id=stock_index"</w:instrText>
      </w:r>
      <w:r>
        <w:rPr>
          <w:rStyle w:val="Hyperlink.0"/>
          <w:rFonts w:ascii="DFBiaoKaiShu-B5" w:cs="DFBiaoKaiShu-B5" w:hAnsi="DFBiaoKaiShu-B5" w:eastAsia="DFBiaoKaiShu-B5"/>
          <w:sz w:val="28"/>
          <w:szCs w:val="28"/>
        </w:rPr>
        <w:fldChar w:fldCharType="separate" w:fldLock="0"/>
      </w:r>
      <w:r>
        <w:rPr>
          <w:rStyle w:val="Hyperlink.0"/>
          <w:rFonts w:ascii="DFBiaoKaiShu-B5" w:hAnsi="DFBiaoKaiShu-B5"/>
          <w:sz w:val="28"/>
          <w:szCs w:val="28"/>
          <w:rtl w:val="0"/>
          <w:lang w:val="en-US"/>
        </w:rPr>
        <w:t>https://wmweb-sit.test/api/get_single_type?id=stock_index</w:t>
      </w:r>
      <w:r>
        <w:rPr>
          <w:rFonts w:ascii="DFBiaoKaiShu-B5" w:cs="DFBiaoKaiShu-B5" w:hAnsi="DFBiaoKaiShu-B5" w:eastAsia="DFBiaoKaiShu-B5"/>
          <w:sz w:val="28"/>
          <w:szCs w:val="28"/>
        </w:rPr>
        <w:fldChar w:fldCharType="end" w:fldLock="0"/>
      </w:r>
      <w:r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  <w:br w:type="textWrapping"/>
        <w:br w:type="textWrapping"/>
      </w:r>
      <w:r>
        <w:rPr>
          <w:rFonts w:ascii="DFBiaoKaiShu-B5" w:hAnsi="DFBiaoKaiShu-B5"/>
          <w:sz w:val="28"/>
          <w:szCs w:val="28"/>
          <w:rtl w:val="0"/>
          <w:lang w:val="zh-TW" w:eastAsia="zh-TW"/>
        </w:rPr>
        <w:t>3. ETF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首頁頁面：</w:t>
      </w:r>
      <w:r>
        <w:rPr>
          <w:rFonts w:ascii="DFBiaoKaiShu-B5" w:hAnsi="DFBiaoKaiShu-B5"/>
          <w:sz w:val="28"/>
          <w:szCs w:val="28"/>
          <w:rtl w:val="0"/>
          <w:lang w:val="zh-TW" w:eastAsia="zh-TW"/>
        </w:rPr>
        <w:t>https://wmweb-sit.test/etfAPI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：</w:t>
      </w:r>
      <w:r>
        <w:rPr>
          <w:rStyle w:val="Hyperlink.0"/>
          <w:rFonts w:ascii="DFBiaoKaiShu-B5" w:cs="DFBiaoKaiShu-B5" w:hAnsi="DFBiaoKaiShu-B5" w:eastAsia="DFBiaoKaiShu-B5"/>
          <w:sz w:val="28"/>
          <w:szCs w:val="28"/>
        </w:rPr>
        <w:fldChar w:fldCharType="begin" w:fldLock="0"/>
      </w:r>
      <w:r>
        <w:rPr>
          <w:rStyle w:val="Hyperlink.0"/>
          <w:rFonts w:ascii="DFBiaoKaiShu-B5" w:cs="DFBiaoKaiShu-B5" w:hAnsi="DFBiaoKaiShu-B5" w:eastAsia="DFBiaoKaiShu-B5"/>
          <w:sz w:val="28"/>
          <w:szCs w:val="28"/>
        </w:rPr>
        <w:instrText xml:space="preserve"> HYPERLINK "https://wmweb-sit.test/api/get_single_type?id=etf_index"</w:instrText>
      </w:r>
      <w:r>
        <w:rPr>
          <w:rStyle w:val="Hyperlink.0"/>
          <w:rFonts w:ascii="DFBiaoKaiShu-B5" w:cs="DFBiaoKaiShu-B5" w:hAnsi="DFBiaoKaiShu-B5" w:eastAsia="DFBiaoKaiShu-B5"/>
          <w:sz w:val="28"/>
          <w:szCs w:val="28"/>
        </w:rPr>
        <w:fldChar w:fldCharType="separate" w:fldLock="0"/>
      </w:r>
      <w:r>
        <w:rPr>
          <w:rStyle w:val="Hyperlink.0"/>
          <w:rFonts w:ascii="DFBiaoKaiShu-B5" w:hAnsi="DFBiaoKaiShu-B5"/>
          <w:sz w:val="28"/>
          <w:szCs w:val="28"/>
          <w:rtl w:val="0"/>
          <w:lang w:val="en-US"/>
        </w:rPr>
        <w:t>https://wmweb-sit.test/api/get_single_type?id=etf_index</w:t>
      </w:r>
      <w:r>
        <w:rPr>
          <w:rFonts w:ascii="DFBiaoKaiShu-B5" w:cs="DFBiaoKaiShu-B5" w:hAnsi="DFBiaoKaiShu-B5" w:eastAsia="DFBiaoKaiShu-B5"/>
          <w:sz w:val="28"/>
          <w:szCs w:val="28"/>
        </w:rPr>
        <w:fldChar w:fldCharType="end" w:fldLock="0"/>
      </w:r>
      <w:r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  <w:br w:type="textWrapping"/>
        <w:br w:type="textWrapping"/>
      </w:r>
      <w:r>
        <w:rPr>
          <w:rFonts w:ascii="DFBiaoKaiShu-B5" w:hAnsi="DFBiaoKaiShu-B5"/>
          <w:sz w:val="28"/>
          <w:szCs w:val="28"/>
          <w:rtl w:val="0"/>
          <w:lang w:val="zh-TW" w:eastAsia="zh-TW"/>
        </w:rPr>
        <w:t xml:space="preserve">4. 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債券首頁頁面：</w:t>
      </w:r>
      <w:r>
        <w:rPr>
          <w:rFonts w:ascii="DFBiaoKaiShu-B5" w:hAnsi="DFBiaoKaiShu-B5"/>
          <w:sz w:val="28"/>
          <w:szCs w:val="28"/>
          <w:rtl w:val="0"/>
          <w:lang w:val="zh-TW" w:eastAsia="zh-TW"/>
        </w:rPr>
        <w:t>https://wmweb-sit.test/bondAPI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：</w:t>
      </w:r>
      <w:r>
        <w:rPr>
          <w:rStyle w:val="Hyperlink.0"/>
          <w:rFonts w:ascii="DFBiaoKaiShu-B5" w:cs="DFBiaoKaiShu-B5" w:hAnsi="DFBiaoKaiShu-B5" w:eastAsia="DFBiaoKaiShu-B5"/>
          <w:sz w:val="28"/>
          <w:szCs w:val="28"/>
        </w:rPr>
        <w:fldChar w:fldCharType="begin" w:fldLock="0"/>
      </w:r>
      <w:r>
        <w:rPr>
          <w:rStyle w:val="Hyperlink.0"/>
          <w:rFonts w:ascii="DFBiaoKaiShu-B5" w:cs="DFBiaoKaiShu-B5" w:hAnsi="DFBiaoKaiShu-B5" w:eastAsia="DFBiaoKaiShu-B5"/>
          <w:sz w:val="28"/>
          <w:szCs w:val="28"/>
        </w:rPr>
        <w:instrText xml:space="preserve"> HYPERLINK "https://wmweb-sit.test/api/get_single_type?id=bond_index"</w:instrText>
      </w:r>
      <w:r>
        <w:rPr>
          <w:rStyle w:val="Hyperlink.0"/>
          <w:rFonts w:ascii="DFBiaoKaiShu-B5" w:cs="DFBiaoKaiShu-B5" w:hAnsi="DFBiaoKaiShu-B5" w:eastAsia="DFBiaoKaiShu-B5"/>
          <w:sz w:val="28"/>
          <w:szCs w:val="28"/>
        </w:rPr>
        <w:fldChar w:fldCharType="separate" w:fldLock="0"/>
      </w:r>
      <w:r>
        <w:rPr>
          <w:rStyle w:val="Hyperlink.0"/>
          <w:rFonts w:ascii="DFBiaoKaiShu-B5" w:hAnsi="DFBiaoKaiShu-B5"/>
          <w:sz w:val="28"/>
          <w:szCs w:val="28"/>
          <w:rtl w:val="0"/>
          <w:lang w:val="en-US"/>
        </w:rPr>
        <w:t>https://wmweb-sit.test/api/get_single_type?id=bond_index</w:t>
      </w:r>
      <w:r>
        <w:rPr>
          <w:rFonts w:ascii="DFBiaoKaiShu-B5" w:cs="DFBiaoKaiShu-B5" w:hAnsi="DFBiaoKaiShu-B5" w:eastAsia="DFBiaoKaiShu-B5"/>
          <w:sz w:val="28"/>
          <w:szCs w:val="28"/>
        </w:rPr>
        <w:fldChar w:fldCharType="end" w:fldLock="0"/>
      </w:r>
      <w:r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  <w:br w:type="textWrapping"/>
      </w:r>
      <w:r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2265093" cy="2441869"/>
            <wp:effectExtent l="0" t="0" r="0" b="0"/>
            <wp:docPr id="1073741826" name="officeArt object" descr="貼上的影像.tif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貼上的影像.tiff" descr="貼上的影像.tiff"/>
                    <pic:cNvPicPr>
                      <a:picLocks noChangeAspect="1"/>
                    </pic:cNvPicPr>
                  </pic:nvPicPr>
                  <pic:blipFill>
                    <a:blip r:embed="rId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5093" cy="244186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</w:rPr>
      </w:pPr>
      <w:r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  <w:br w:type="textWrapping"/>
        <w:br w:type="textWrapping"/>
      </w: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eastAsia="DFBiaoKaiShu-B5" w:hint="eastAsia"/>
          <w:sz w:val="40"/>
          <w:szCs w:val="40"/>
          <w:rtl w:val="0"/>
          <w:lang w:val="zh-TW" w:eastAsia="zh-TW"/>
        </w:rPr>
      </w:pPr>
      <w:r>
        <w:rPr>
          <w:rFonts w:eastAsia="DFBiaoKaiShu-B5" w:hint="eastAsia"/>
          <w:sz w:val="40"/>
          <w:szCs w:val="40"/>
          <w:rtl w:val="0"/>
          <w:lang w:val="zh-TW" w:eastAsia="zh-TW"/>
        </w:rPr>
        <w:t>系統授權資料狀態邏輯調整</w:t>
      </w:r>
      <w:r>
        <w:rPr>
          <w:rFonts w:ascii="DFBiaoKaiShu-B5" w:cs="DFBiaoKaiShu-B5" w:hAnsi="DFBiaoKaiShu-B5" w:eastAsia="DFBiaoKaiShu-B5"/>
          <w:sz w:val="40"/>
          <w:szCs w:val="40"/>
          <w:lang w:val="zh-TW" w:eastAsia="zh-TW"/>
        </w:rPr>
        <w:br w:type="textWrapping"/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 xml:space="preserve">須於 </w:t>
      </w:r>
      <w:r>
        <w:rPr>
          <w:rFonts w:ascii="DFBiaoKaiShu-B5" w:hAnsi="DFBiaoKaiShu-B5"/>
          <w:sz w:val="28"/>
          <w:szCs w:val="28"/>
          <w:rtl w:val="0"/>
          <w:lang w:val="zh-TW" w:eastAsia="zh-TW"/>
        </w:rPr>
        <w:t xml:space="preserve">SSO_ACInfolog 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確認</w:t>
      </w:r>
      <w:r>
        <w:rPr>
          <w:rFonts w:ascii="DFBiaoKaiShu-B5" w:cs="DFBiaoKaiShu-B5" w:hAnsi="DFBiaoKaiShu-B5" w:eastAsia="DFBiaoKaiShu-B5"/>
          <w:sz w:val="40"/>
          <w:szCs w:val="40"/>
          <w:lang w:val="zh-TW" w:eastAsia="zh-TW"/>
        </w:rPr>
        <w:drawing xmlns:a="http://schemas.openxmlformats.org/drawingml/2006/main">
          <wp:anchor distT="152400" distB="152400" distL="152400" distR="152400" simplePos="0" relativeHeight="251659264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254000</wp:posOffset>
            </wp:positionV>
            <wp:extent cx="5270500" cy="3281246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17"/>
                <wp:lineTo x="0" y="21617"/>
                <wp:lineTo x="0" y="0"/>
              </wp:wrapPolygon>
            </wp:wrapThrough>
            <wp:docPr id="1073741827" name="officeArt object" descr="貼上的影片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貼上的影片.png" descr="貼上的影片.png"/>
                    <pic:cNvPicPr>
                      <a:picLocks noChangeAspect="1"/>
                    </pic:cNvPicPr>
                  </pic:nvPicPr>
                  <pic:blipFill>
                    <a:blip r:embed="rId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28124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DFBiaoKaiShu-B5" w:cs="DFBiaoKaiShu-B5" w:hAnsi="DFBiaoKaiShu-B5" w:eastAsia="DFBiaoKaiShu-B5"/>
          <w:sz w:val="40"/>
          <w:szCs w:val="40"/>
          <w:lang w:val="zh-TW" w:eastAsia="zh-TW"/>
        </w:rPr>
        <w:br w:type="textWrapping"/>
      </w:r>
    </w:p>
    <w:sectPr>
      <w:headerReference w:type="default" r:id="rId7"/>
      <w:footerReference w:type="default" r:id="rId8"/>
      <w:pgSz w:w="11900" w:h="16840" w:orient="portrait"/>
      <w:pgMar w:top="1440" w:right="1800" w:bottom="1440" w:left="1800" w:header="851" w:footer="992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PingFang TC Regular">
    <w:charset w:val="00"/>
    <w:family w:val="roman"/>
    <w:pitch w:val="default"/>
  </w:font>
  <w:font w:name="MingLiU">
    <w:charset w:val="00"/>
    <w:family w:val="roman"/>
    <w:pitch w:val="default"/>
  </w:font>
  <w:font w:name="DFBiaoKaiShu-B5">
    <w:charset w:val="00"/>
    <w:family w:val="roman"/>
    <w:pitch w:val="default"/>
  </w:font>
  <w:font w:name="標楷體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頁首與頁尾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頁首與頁尾"/>
      <w:bidi w:val="0"/>
    </w:pPr>
    <w:r/>
  </w:p>
</w:hdr>
</file>

<file path=word/numbering.xml><?xml version="1.0" encoding="utf-8"?>
<w:numbering xmlns:w="http://schemas.openxmlformats.org/wordprocessingml/2006/main" xmlns:wp="http://schemas.openxmlformats.org/drawingml/2006/wordprocessingDrawing" xmlns:w14="http://schemas.microsoft.com/office/word/2010/wordml" xmlns:r="http://schemas.openxmlformats.org/officeDocument/2006/relationships" xmlns:v="urn:schemas-microsoft-com:vml" xmlns:o="urn:schemas-microsoft-com:office:office">
  <w:abstractNum w:abstractNumId="0">
    <w:multiLevelType w:val="hybridMultilevel"/>
    <w:numStyleLink w:val="已輸入樣式 1"/>
  </w:abstractNum>
  <w:abstractNum w:abstractNumId="1">
    <w:multiLevelType w:val="hybridMultilevel"/>
    <w:styleLink w:val="已輸入樣式 1"/>
    <w:lvl w:ilvl="0">
      <w:start w:val="1"/>
      <w:numFmt w:val="decimal"/>
      <w:suff w:val="tab"/>
      <w:lvlText w:val="%1."/>
      <w:lvlJc w:val="left"/>
      <w:pPr>
        <w:ind w:left="392" w:hanging="392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suff w:val="tab"/>
      <w:lvlText w:val="%2."/>
      <w:lvlJc w:val="left"/>
      <w:pPr>
        <w:ind w:left="816" w:hanging="336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lowerRoman"/>
      <w:suff w:val="tab"/>
      <w:lvlText w:val="%3."/>
      <w:lvlJc w:val="left"/>
      <w:pPr>
        <w:ind w:left="1229" w:hanging="491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tab"/>
      <w:lvlText w:val="%4."/>
      <w:lvlJc w:val="left"/>
      <w:pPr>
        <w:ind w:left="1776" w:hanging="336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suff w:val="tab"/>
      <w:lvlText w:val="%5."/>
      <w:lvlJc w:val="left"/>
      <w:pPr>
        <w:ind w:left="2256" w:hanging="336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lowerRoman"/>
      <w:suff w:val="tab"/>
      <w:lvlText w:val="%6."/>
      <w:lvlJc w:val="left"/>
      <w:pPr>
        <w:ind w:left="2669" w:hanging="491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tab"/>
      <w:lvlText w:val="%7."/>
      <w:lvlJc w:val="left"/>
      <w:pPr>
        <w:ind w:left="3216" w:hanging="336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suff w:val="tab"/>
      <w:lvlText w:val="%8."/>
      <w:lvlJc w:val="left"/>
      <w:pPr>
        <w:ind w:left="3696" w:hanging="336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lowerRoman"/>
      <w:suff w:val="tab"/>
      <w:lvlText w:val="%9."/>
      <w:lvlJc w:val="left"/>
      <w:pPr>
        <w:ind w:left="4109" w:hanging="491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480"/>
  <w:autoHyphenation w:val="0"/>
  <w:evenAndOddHeaders w:val="0"/>
  <w:bookFoldPrinting w:val="0"/>
  <w:noLineBreaksAfter w:lang="中文" w:val="‘“(〔[{〈《「『【⦅〘〖«〝︵︷︹︻︽︿﹁﹃﹇﹙﹛﹝｢"/>
  <w:noLineBreaksBefore w:lang="中文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頁首與頁尾">
    <w:name w:val="頁首與頁尾"/>
    <w:next w:val="頁首與頁尾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PingFang TC Regular" w:cs="Arial Unicode MS" w:hAnsi="PingFang TC Regular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Normal.0">
    <w:name w:val="Normal"/>
    <w:next w:val="Normal.0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Arial Unicode MS" w:cs="Arial Unicode MS" w:hAnsi="Arial Unicode MS" w:eastAsia="Arial Unicode MS" w:hint="eastAsia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 w:color="000000"/>
      <w:shd w:val="nil" w:color="auto" w:fill="auto"/>
      <w:vertAlign w:val="baseline"/>
      <w:lang w:val="en-US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  <w:style w:type="paragraph" w:styleId="List Paragraph">
    <w:name w:val="List Paragraph"/>
    <w:next w:val="List Paragraph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0" w:after="0" w:line="240" w:lineRule="auto"/>
      <w:ind w:left="480" w:right="0" w:firstLine="0"/>
      <w:jc w:val="left"/>
      <w:outlineLvl w:val="9"/>
    </w:pPr>
    <w:rPr>
      <w:rFonts w:ascii="Arial Unicode MS" w:cs="Arial Unicode MS" w:hAnsi="Arial Unicode MS" w:eastAsia="Arial Unicode MS" w:hint="eastAsia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2"/>
      <w:position w:val="0"/>
      <w:sz w:val="24"/>
      <w:szCs w:val="24"/>
      <w:u w:val="none" w:color="000000"/>
      <w:shd w:val="nil" w:color="auto" w:fill="auto"/>
      <w:vertAlign w:val="baseline"/>
      <w:lang w:val="en-US"/>
      <w14:textFill>
        <w14:solidFill>
          <w14:srgbClr w14:val="000000"/>
        </w14:solidFill>
      </w14:textFill>
    </w:rPr>
  </w:style>
  <w:style w:type="numbering" w:styleId="已輸入樣式 1">
    <w:name w:val="已輸入樣式 1"/>
    <w:pPr>
      <w:numPr>
        <w:numId w:val="1"/>
      </w:numPr>
    </w:pPr>
  </w:style>
  <w:style w:type="character" w:styleId="Hyperlink.0">
    <w:name w:val="Hyperlink.0"/>
    <w:basedOn w:val="Hyperlink"/>
    <w:next w:val="Hyperlink.0"/>
    <w:rPr>
      <w:outline w:val="0"/>
      <w:color w:val="0000ff"/>
      <w:u w:val="single" w:color="0000ff"/>
      <w14:textFill>
        <w14:solidFill>
          <w14:srgbClr w14:val="0000FF"/>
        </w14:solidFill>
      </w14:textFill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image" Target="media/image1.tif"/><Relationship Id="rId6" Type="http://schemas.openxmlformats.org/officeDocument/2006/relationships/image" Target="media/image2.png"/><Relationship Id="rId7" Type="http://schemas.openxmlformats.org/officeDocument/2006/relationships/header" Target="header1.xml"/><Relationship Id="rId8" Type="http://schemas.openxmlformats.org/officeDocument/2006/relationships/footer" Target="footer1.xml"/><Relationship Id="rId9" Type="http://schemas.openxmlformats.org/officeDocument/2006/relationships/numbering" Target="numbering.xml"/><Relationship Id="rId10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Office 佈景主題">
  <a:themeElements>
    <a:clrScheme name="Office 佈景主題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Office 佈景主題">
      <a:majorFont>
        <a:latin typeface="PingFang TC Semibold"/>
        <a:ea typeface="PingFang TC Semibold"/>
        <a:cs typeface="PingFang TC Semibold"/>
      </a:majorFont>
      <a:minorFont>
        <a:latin typeface="PingFang TC Regular"/>
        <a:ea typeface="PingFang TC Regular"/>
        <a:cs typeface="PingFang TC Regular"/>
      </a:minorFont>
    </a:fontScheme>
    <a:fmtScheme name="Office 佈景主題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PingFang TC Reg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PingFang TC Reg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